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66"/>
        <w:gridCol w:w="501"/>
        <w:gridCol w:w="1134"/>
        <w:gridCol w:w="889"/>
        <w:gridCol w:w="816"/>
        <w:gridCol w:w="2156"/>
        <w:gridCol w:w="539"/>
        <w:gridCol w:w="668"/>
      </w:tblGrid>
      <w:tr w:rsidR="00FB78C2" w:rsidRPr="00FB78C2" w14:paraId="2089461F" w14:textId="77777777" w:rsidTr="00FB78C2">
        <w:trPr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9385107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 w:type="page"/>
            </w:r>
            <w:r w:rsidRPr="00FB78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B-III – Charakteristika studijního předmětu</w:t>
            </w:r>
          </w:p>
        </w:tc>
      </w:tr>
      <w:tr w:rsidR="00FB78C2" w:rsidRPr="00FB78C2" w14:paraId="4C02F8A0" w14:textId="77777777" w:rsidTr="00FB78C2">
        <w:trPr>
          <w:jc w:val="center"/>
        </w:trPr>
        <w:tc>
          <w:tcPr>
            <w:tcW w:w="3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4D53DF2A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studijního předmětu</w:t>
            </w:r>
          </w:p>
        </w:tc>
        <w:tc>
          <w:tcPr>
            <w:tcW w:w="676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82C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459A02D7" w14:textId="77777777" w:rsidTr="00FB78C2">
        <w:trPr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2908E765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předmětu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DC4A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3D8CF17A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doporučený ročník / semestr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B30E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637B32B2" w14:textId="77777777" w:rsidTr="00FB78C2">
        <w:trPr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406BDB61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 studijního předmětu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9F3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20408D5C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hod.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D118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14117B49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kreditů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2C4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07E38DAB" w14:textId="77777777" w:rsidTr="00FB78C2">
        <w:trPr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0854BC7F" w14:textId="77777777" w:rsidR="00FB78C2" w:rsidRPr="00FB78C2" w:rsidRDefault="00FB78C2" w:rsidP="00FB7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Prerekvizity, </w:t>
            </w:r>
            <w:proofErr w:type="spellStart"/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korekvizity</w:t>
            </w:r>
            <w:proofErr w:type="spellEnd"/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, ekvivalence</w:t>
            </w:r>
          </w:p>
        </w:tc>
        <w:tc>
          <w:tcPr>
            <w:tcW w:w="6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1D8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7EA68AAE" w14:textId="77777777" w:rsidTr="00FB78C2">
        <w:trPr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3FBE9690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Způsob ověření výsledků učení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EA0F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3DF9E976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výuky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D8F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2E9CA39A" w14:textId="77777777" w:rsidTr="00FB78C2">
        <w:trPr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56233D34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způsobu ověření výsledků učení a další požadavky na studenta</w:t>
            </w:r>
          </w:p>
        </w:tc>
        <w:tc>
          <w:tcPr>
            <w:tcW w:w="676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FE7CF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24745ED1" w14:textId="77777777" w:rsidTr="00FB78C2">
        <w:trPr>
          <w:trHeight w:val="554"/>
          <w:jc w:val="center"/>
        </w:trPr>
        <w:tc>
          <w:tcPr>
            <w:tcW w:w="98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15A6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70C24541" w14:textId="77777777" w:rsidTr="00FB78C2">
        <w:trPr>
          <w:trHeight w:val="197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1F6645C7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Garant předmětu</w:t>
            </w:r>
          </w:p>
        </w:tc>
        <w:tc>
          <w:tcPr>
            <w:tcW w:w="67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B291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2A6FC66E" w14:textId="77777777" w:rsidTr="00FB78C2">
        <w:trPr>
          <w:trHeight w:val="24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67E7D3FC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Zapojení garanta do výuky předmětu</w:t>
            </w:r>
          </w:p>
        </w:tc>
        <w:tc>
          <w:tcPr>
            <w:tcW w:w="67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0AD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7175F109" w14:textId="77777777" w:rsidTr="00FB78C2">
        <w:trPr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1D1C2BAD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Vyučující</w:t>
            </w:r>
          </w:p>
        </w:tc>
        <w:tc>
          <w:tcPr>
            <w:tcW w:w="676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44AC9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05803F66" w14:textId="77777777" w:rsidTr="00FB78C2">
        <w:trPr>
          <w:trHeight w:val="554"/>
          <w:jc w:val="center"/>
        </w:trPr>
        <w:tc>
          <w:tcPr>
            <w:tcW w:w="98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D550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4E8F1F63" w14:textId="77777777" w:rsidTr="00FB78C2">
        <w:trPr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240CDDA9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Hlavní témata a výsledky učení</w:t>
            </w:r>
          </w:p>
        </w:tc>
        <w:tc>
          <w:tcPr>
            <w:tcW w:w="676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05950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0C117C82" w14:textId="77777777" w:rsidTr="00FB78C2">
        <w:trPr>
          <w:trHeight w:val="2197"/>
          <w:jc w:val="center"/>
        </w:trPr>
        <w:tc>
          <w:tcPr>
            <w:tcW w:w="98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42F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7F71987B" w14:textId="77777777" w:rsidTr="00FB78C2">
        <w:trPr>
          <w:trHeight w:val="283"/>
          <w:jc w:val="center"/>
        </w:trPr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5E23D41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Metody výuky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498AB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75814258" w14:textId="77777777" w:rsidTr="00FB78C2">
        <w:trPr>
          <w:trHeight w:val="2354"/>
          <w:jc w:val="center"/>
        </w:trPr>
        <w:tc>
          <w:tcPr>
            <w:tcW w:w="98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803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224FE1C8" w14:textId="77777777" w:rsidTr="00FB78C2">
        <w:trPr>
          <w:trHeight w:val="265"/>
          <w:jc w:val="center"/>
        </w:trPr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7ADB2034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F5D02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1A0896D8" w14:textId="77777777" w:rsidTr="00FB78C2">
        <w:trPr>
          <w:trHeight w:val="1497"/>
          <w:jc w:val="center"/>
        </w:trPr>
        <w:tc>
          <w:tcPr>
            <w:tcW w:w="98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7724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8C2" w:rsidRPr="00FB78C2" w14:paraId="5C024F0D" w14:textId="77777777" w:rsidTr="00FB78C2">
        <w:trPr>
          <w:jc w:val="center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hideMark/>
          </w:tcPr>
          <w:p w14:paraId="568F8C32" w14:textId="77777777" w:rsidR="00FB78C2" w:rsidRPr="00FB78C2" w:rsidRDefault="00FB78C2" w:rsidP="00FB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Informace ke kombinované nebo distanční formě</w:t>
            </w:r>
          </w:p>
        </w:tc>
      </w:tr>
      <w:tr w:rsidR="00FB78C2" w:rsidRPr="00FB78C2" w14:paraId="127CDEBA" w14:textId="77777777" w:rsidTr="00FB78C2">
        <w:trPr>
          <w:jc w:val="center"/>
        </w:trPr>
        <w:tc>
          <w:tcPr>
            <w:tcW w:w="478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5F9F8D59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 konzultací (soustředění)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7131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6A4920D1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hodin </w:t>
            </w:r>
          </w:p>
        </w:tc>
      </w:tr>
      <w:tr w:rsidR="00FB78C2" w:rsidRPr="00FB78C2" w14:paraId="5312E41A" w14:textId="77777777" w:rsidTr="00FB78C2">
        <w:trPr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5B792F27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B7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Informace o způsobu kontaktu s vyučujícím</w:t>
            </w:r>
          </w:p>
        </w:tc>
      </w:tr>
      <w:tr w:rsidR="00FB78C2" w:rsidRPr="00FB78C2" w14:paraId="35A75E12" w14:textId="77777777" w:rsidTr="00FB78C2">
        <w:trPr>
          <w:trHeight w:val="1373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9BB" w14:textId="77777777" w:rsidR="00FB78C2" w:rsidRPr="00FB78C2" w:rsidRDefault="00FB78C2" w:rsidP="00FB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C36E759" w14:textId="77777777" w:rsidR="00095665" w:rsidRDefault="00095665">
      <w:r>
        <w:br w:type="page"/>
      </w:r>
    </w:p>
    <w:p w14:paraId="215620CB" w14:textId="77777777" w:rsidR="00095665" w:rsidRDefault="00095665" w:rsidP="00095665">
      <w:pPr>
        <w:widowControl w:val="0"/>
        <w:autoSpaceDE w:val="0"/>
        <w:autoSpaceDN w:val="0"/>
        <w:spacing w:before="79" w:after="0" w:line="240" w:lineRule="auto"/>
        <w:ind w:left="218"/>
        <w:outlineLvl w:val="1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lastRenderedPageBreak/>
        <w:t>B-III: Charakteristika studijního předmětu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br/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Příloha se přikládá pro každý předmět uvedený v příloze B-</w:t>
      </w:r>
      <w:proofErr w:type="spellStart"/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IIa</w:t>
      </w:r>
      <w:proofErr w:type="spellEnd"/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nebo B-</w:t>
      </w:r>
      <w:proofErr w:type="spellStart"/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IIb</w:t>
      </w:r>
      <w:proofErr w:type="spellEnd"/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.</w:t>
      </w:r>
    </w:p>
    <w:p w14:paraId="0034CEF6" w14:textId="77777777" w:rsidR="00095665" w:rsidRDefault="00095665" w:rsidP="00095665">
      <w:pPr>
        <w:widowControl w:val="0"/>
        <w:autoSpaceDE w:val="0"/>
        <w:autoSpaceDN w:val="0"/>
        <w:spacing w:before="79" w:after="0" w:line="240" w:lineRule="auto"/>
        <w:ind w:left="218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</w:pPr>
    </w:p>
    <w:p w14:paraId="04F46439" w14:textId="77777777" w:rsidR="00095665" w:rsidRPr="00095665" w:rsidRDefault="00095665" w:rsidP="00095665">
      <w:pPr>
        <w:widowControl w:val="0"/>
        <w:autoSpaceDE w:val="0"/>
        <w:autoSpaceDN w:val="0"/>
        <w:spacing w:before="79" w:after="0" w:line="240" w:lineRule="auto"/>
        <w:ind w:left="218"/>
        <w:outlineLvl w:val="1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Typ předmětu</w:t>
      </w:r>
    </w:p>
    <w:p w14:paraId="2EB5A2AB" w14:textId="77777777" w:rsidR="00095665" w:rsidRPr="00095665" w:rsidRDefault="00095665" w:rsidP="00095665">
      <w:pPr>
        <w:widowControl w:val="0"/>
        <w:autoSpaceDE w:val="0"/>
        <w:autoSpaceDN w:val="0"/>
        <w:spacing w:before="6" w:after="0" w:line="240" w:lineRule="auto"/>
        <w:ind w:left="218" w:right="233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Povinný, povinně volitelný. Dále se uvede „</w:t>
      </w:r>
      <w:r w:rsidRPr="00095665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PZ</w: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“, pokud jde o předmět profilujícího základu, nebo „</w:t>
      </w:r>
      <w:r w:rsidRPr="00095665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ZT</w: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“, pokud jde o základní teoretický předmět profilujícího základu; u předmětů, které nejsou předměty profilujícího základu, se žádné další označení neuvádí.</w:t>
      </w:r>
    </w:p>
    <w:p w14:paraId="092E58AC" w14:textId="77777777" w:rsidR="00095665" w:rsidRPr="00095665" w:rsidRDefault="00095665" w:rsidP="00095665">
      <w:pPr>
        <w:widowControl w:val="0"/>
        <w:autoSpaceDE w:val="0"/>
        <w:autoSpaceDN w:val="0"/>
        <w:spacing w:before="120"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Rozsah studijního předmětu</w:t>
      </w:r>
    </w:p>
    <w:p w14:paraId="520C63E9" w14:textId="77777777" w:rsidR="00095665" w:rsidRPr="00095665" w:rsidRDefault="00095665" w:rsidP="00095665">
      <w:pPr>
        <w:widowControl w:val="0"/>
        <w:autoSpaceDE w:val="0"/>
        <w:autoSpaceDN w:val="0"/>
        <w:spacing w:after="0" w:line="240" w:lineRule="auto"/>
        <w:ind w:left="218" w:right="238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030A09" wp14:editId="19A4BEDC">
                <wp:simplePos x="0" y="0"/>
                <wp:positionH relativeFrom="page">
                  <wp:posOffset>4925060</wp:posOffset>
                </wp:positionH>
                <wp:positionV relativeFrom="paragraph">
                  <wp:posOffset>158750</wp:posOffset>
                </wp:positionV>
                <wp:extent cx="42545" cy="15240"/>
                <wp:effectExtent l="0" t="0" r="0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69837" id="Obdélník 3" o:spid="_x0000_s1026" style="position:absolute;margin-left:387.8pt;margin-top:12.5pt;width:3.35pt;height: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" fillcolor="black" stroked="f">
                <w10:wrap anchorx="page"/>
              </v:rect>
            </w:pict>
          </mc:Fallback>
        </mc:AlternateConten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Celkový rozsah výuky předmětu (</w:t>
      </w:r>
      <w:r w:rsidRPr="00095665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cs-CZ" w:bidi="cs-CZ"/>
        </w:rPr>
        <w:t>p</w: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řednášek, </w:t>
      </w:r>
      <w:r w:rsidRPr="00095665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cs-CZ" w:bidi="cs-CZ"/>
        </w:rPr>
        <w:t>s</w: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eminářů, </w:t>
      </w:r>
      <w:r w:rsidRPr="00095665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cs-CZ" w:bidi="cs-CZ"/>
        </w:rPr>
        <w:t>c</w: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vičení, </w:t>
      </w:r>
      <w:r w:rsidRPr="00095665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l</w: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aboratoří apod.) za semestr ve vyučovacích hodinách (např. 42p + 28s = 42 vyuč. hod. přednášek + 28 vyuč. hod. seminářů za semestr). Údaje by měly být totožné s údaji uvedenými v </w:t>
      </w:r>
      <w:proofErr w:type="spellStart"/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příl</w:t>
      </w:r>
      <w:proofErr w:type="spellEnd"/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. B-</w:t>
      </w:r>
      <w:proofErr w:type="spellStart"/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IIa</w:t>
      </w:r>
      <w:proofErr w:type="spellEnd"/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nebo B-</w:t>
      </w:r>
      <w:proofErr w:type="spellStart"/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IIb</w:t>
      </w:r>
      <w:proofErr w:type="spellEnd"/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.</w:t>
      </w:r>
    </w:p>
    <w:p w14:paraId="4061C44A" w14:textId="77777777" w:rsidR="00095665" w:rsidRPr="00095665" w:rsidRDefault="00095665" w:rsidP="00095665">
      <w:pPr>
        <w:widowControl w:val="0"/>
        <w:autoSpaceDE w:val="0"/>
        <w:autoSpaceDN w:val="0"/>
        <w:spacing w:before="120"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 xml:space="preserve">Prerekvizity, </w:t>
      </w:r>
      <w:proofErr w:type="spellStart"/>
      <w:r w:rsidRPr="00095665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korekvizity</w:t>
      </w:r>
      <w:proofErr w:type="spellEnd"/>
      <w:r w:rsidRPr="00095665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, ekvivalence</w:t>
      </w:r>
    </w:p>
    <w:p w14:paraId="01B41691" w14:textId="77777777" w:rsidR="00095665" w:rsidRPr="00095665" w:rsidRDefault="00095665" w:rsidP="00095665">
      <w:pPr>
        <w:widowControl w:val="0"/>
        <w:autoSpaceDE w:val="0"/>
        <w:autoSpaceDN w:val="0"/>
        <w:spacing w:after="0" w:line="240" w:lineRule="auto"/>
        <w:ind w:left="218" w:right="23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Prerekvizity jsou předměty, bez jejichž splnění nelze daný předmět zapsat. </w:t>
      </w:r>
      <w:proofErr w:type="spellStart"/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Korekvizity</w:t>
      </w:r>
      <w:proofErr w:type="spellEnd"/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jsou předměty, které musí být zapsány nejpozději ve stejném ročníku/semestru jako daný předmět. Ekvivalence je takový vztah mezi dvěma předměty určený vysokou školou (fakultou) nebo studijním plánem, kdy je stanoveno, že absolvováním prvního předmětu je z hlediska plnění studijního plánu považován za absolvovaný druhý předmět a absolvováním druhého předmětu je z hlediska plnění studijního plánu považován za absolvovaný první předmět.</w:t>
      </w:r>
    </w:p>
    <w:p w14:paraId="74D25752" w14:textId="1EEE73B7" w:rsidR="00095665" w:rsidRPr="00095665" w:rsidRDefault="005573A6" w:rsidP="00095665">
      <w:pPr>
        <w:widowControl w:val="0"/>
        <w:autoSpaceDE w:val="0"/>
        <w:autoSpaceDN w:val="0"/>
        <w:spacing w:before="118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5573A6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Způsob ověření výsledků učení</w:t>
      </w:r>
    </w:p>
    <w:p w14:paraId="446CC9CB" w14:textId="77777777" w:rsidR="00095665" w:rsidRPr="00095665" w:rsidRDefault="00095665" w:rsidP="00095665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Zápočet, zkouška, klasifikovaný zápočet apod.</w:t>
      </w:r>
    </w:p>
    <w:p w14:paraId="1C865BF9" w14:textId="6BCD0E0E" w:rsidR="00095665" w:rsidRPr="00095665" w:rsidRDefault="008F060C" w:rsidP="00095665">
      <w:pPr>
        <w:widowControl w:val="0"/>
        <w:autoSpaceDE w:val="0"/>
        <w:autoSpaceDN w:val="0"/>
        <w:spacing w:before="120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8F060C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Forma způsobu ověření výsledků učení a další požadavky na studenta</w:t>
      </w:r>
    </w:p>
    <w:p w14:paraId="69831029" w14:textId="1854E509" w:rsidR="00095665" w:rsidRPr="00095665" w:rsidRDefault="008F060C" w:rsidP="00095665">
      <w:pPr>
        <w:widowControl w:val="0"/>
        <w:autoSpaceDE w:val="0"/>
        <w:autoSpaceDN w:val="0"/>
        <w:spacing w:after="0" w:line="240" w:lineRule="auto"/>
        <w:ind w:left="218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8F060C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Uvádí se konkrétní podoba ověřování výsledků učení uvedeného v předchozím bodě (např. ústní zkouška, písemný test a jeho typ, hodnocení portfolií, prezentací, závěrečných projektů, esejí, hodnocení praktických dovedností /např. OSCE, umělecká performance/ atd., případně zda ověřování výsledků učení probíhá prezenčně nebo distančně) a další požadavky na studenta vedoucí k úspěšnému zakončení předmětu, např. docházka, účast na výuce s využitím prvků distančního vzdělávání apod. Jsou popsány nástroje zajištění řádného průběhu ověřování výsledků učení (prevence podvodů, rovné šance všech studentů atd.).</w:t>
      </w:r>
    </w:p>
    <w:p w14:paraId="640FD147" w14:textId="77777777" w:rsidR="00095665" w:rsidRPr="00095665" w:rsidRDefault="00095665" w:rsidP="00095665">
      <w:pPr>
        <w:widowControl w:val="0"/>
        <w:autoSpaceDE w:val="0"/>
        <w:autoSpaceDN w:val="0"/>
        <w:spacing w:before="120"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Forma výuky</w:t>
      </w:r>
    </w:p>
    <w:p w14:paraId="4DDC8F92" w14:textId="5D85FAF1" w:rsidR="00095665" w:rsidRPr="00095665" w:rsidRDefault="00F16F7B" w:rsidP="00095665">
      <w:pPr>
        <w:widowControl w:val="0"/>
        <w:autoSpaceDE w:val="0"/>
        <w:autoSpaceDN w:val="0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F16F7B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Uvede se organizační forma výuky (přednáška, seminář, cvičení, laboratorní praktika, odborná praxe, exkurze apod.).</w:t>
      </w:r>
    </w:p>
    <w:p w14:paraId="217CBAC5" w14:textId="77777777" w:rsidR="00095665" w:rsidRPr="00095665" w:rsidRDefault="00095665" w:rsidP="00095665">
      <w:pPr>
        <w:widowControl w:val="0"/>
        <w:autoSpaceDE w:val="0"/>
        <w:autoSpaceDN w:val="0"/>
        <w:spacing w:before="121"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Garant předmětu</w:t>
      </w:r>
    </w:p>
    <w:p w14:paraId="4915CC2A" w14:textId="77777777" w:rsidR="00095665" w:rsidRDefault="00095665" w:rsidP="00095665">
      <w:pPr>
        <w:widowControl w:val="0"/>
        <w:autoSpaceDE w:val="0"/>
        <w:autoSpaceDN w:val="0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Jméno a příjmení garanta včetně titulů. Uvádí se pouze u předmětů profilujícího základu.</w:t>
      </w:r>
    </w:p>
    <w:p w14:paraId="644654BA" w14:textId="77777777" w:rsidR="00095665" w:rsidRPr="00095665" w:rsidRDefault="00095665" w:rsidP="00095665">
      <w:pPr>
        <w:widowControl w:val="0"/>
        <w:autoSpaceDE w:val="0"/>
        <w:autoSpaceDN w:val="0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0"/>
          <w:szCs w:val="24"/>
          <w:lang w:eastAsia="cs-CZ" w:bidi="cs-CZ"/>
        </w:rPr>
      </w:pPr>
    </w:p>
    <w:p w14:paraId="792D4BDE" w14:textId="77777777" w:rsidR="00095665" w:rsidRPr="00095665" w:rsidRDefault="00095665" w:rsidP="00095665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Zapojení garanta do výuky předmětu</w:t>
      </w:r>
    </w:p>
    <w:p w14:paraId="59C47DDB" w14:textId="77777777" w:rsidR="00095665" w:rsidRPr="00095665" w:rsidRDefault="00095665" w:rsidP="00095665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Uvádí se, jakým způsobem se garant podílí na výuce předmětu.</w:t>
      </w:r>
    </w:p>
    <w:p w14:paraId="621D1E49" w14:textId="77777777" w:rsidR="00095665" w:rsidRPr="00095665" w:rsidRDefault="00095665" w:rsidP="00095665">
      <w:pPr>
        <w:widowControl w:val="0"/>
        <w:autoSpaceDE w:val="0"/>
        <w:autoSpaceDN w:val="0"/>
        <w:spacing w:before="120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Vyučující</w:t>
      </w:r>
    </w:p>
    <w:p w14:paraId="121FCDA9" w14:textId="77777777" w:rsidR="00095665" w:rsidRPr="00095665" w:rsidRDefault="00095665" w:rsidP="00095665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Uvádějí se vyučující daného předmětu tak, jak jsou uvedeni v příloze B-II.</w:t>
      </w:r>
    </w:p>
    <w:p w14:paraId="69217886" w14:textId="426B9B8A" w:rsidR="00095665" w:rsidRPr="00095665" w:rsidRDefault="00D52C64" w:rsidP="00095665">
      <w:pPr>
        <w:widowControl w:val="0"/>
        <w:autoSpaceDE w:val="0"/>
        <w:autoSpaceDN w:val="0"/>
        <w:spacing w:before="120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D52C64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Hlavní témata a výsledky učení</w:t>
      </w:r>
    </w:p>
    <w:p w14:paraId="4419AC5C" w14:textId="3620BF78" w:rsidR="00095665" w:rsidRDefault="00D52C64" w:rsidP="001545D7">
      <w:pPr>
        <w:pStyle w:val="Bezmezer"/>
        <w:ind w:left="215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D52C6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Uvádí se očekávané výsledky učení a hlavní témata (osnova) předmětu po jednotlivých týdnech (blocích) výuky. Byl-li v případě studijních programů zaměřených na přípravu na výkon regulovaného povolání stanoven závazný kompetenční rámec či profil absolventa, </w:t>
      </w:r>
      <w:r w:rsidRPr="00D52C64">
        <w:rPr>
          <w:rFonts w:ascii="Times New Roman" w:hAnsi="Times New Roman" w:cs="Times New Roman"/>
          <w:sz w:val="24"/>
          <w:szCs w:val="24"/>
          <w:lang w:eastAsia="cs-CZ" w:bidi="cs-CZ"/>
        </w:rPr>
        <w:lastRenderedPageBreak/>
        <w:t>uvádí se, které konkrétní kompetence dle tohoto závazného kompetenčního rámce či profilu absolventa studijní předmět rozvíjí u studentů.</w:t>
      </w:r>
    </w:p>
    <w:p w14:paraId="53DEEB73" w14:textId="77777777" w:rsidR="00B47CB0" w:rsidRPr="00B47CB0" w:rsidRDefault="00B47CB0" w:rsidP="00B47CB0">
      <w:pPr>
        <w:pStyle w:val="Bezmezer"/>
        <w:ind w:left="215"/>
        <w:rPr>
          <w:rFonts w:ascii="Times New Roman" w:hAnsi="Times New Roman" w:cs="Times New Roman"/>
          <w:sz w:val="24"/>
          <w:szCs w:val="24"/>
          <w:u w:val="single"/>
          <w:lang w:eastAsia="cs-CZ" w:bidi="cs-CZ"/>
        </w:rPr>
      </w:pPr>
      <w:r w:rsidRPr="00B47CB0">
        <w:rPr>
          <w:rFonts w:ascii="Times New Roman" w:hAnsi="Times New Roman" w:cs="Times New Roman"/>
          <w:sz w:val="24"/>
          <w:szCs w:val="24"/>
          <w:u w:val="single"/>
          <w:lang w:eastAsia="cs-CZ" w:bidi="cs-CZ"/>
        </w:rPr>
        <w:t>Metody výuky</w:t>
      </w:r>
    </w:p>
    <w:p w14:paraId="6F0CCBF9" w14:textId="77777777" w:rsidR="00040374" w:rsidRDefault="00B47CB0" w:rsidP="00B47CB0">
      <w:pPr>
        <w:pStyle w:val="Bezmezer"/>
        <w:ind w:left="215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B47CB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Uvedou se </w:t>
      </w:r>
      <w:r w:rsidRPr="00040374"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  <w:t xml:space="preserve">hlavní metody a přístupy </w:t>
      </w:r>
      <w:r w:rsidRPr="00B47CB0">
        <w:rPr>
          <w:rFonts w:ascii="Times New Roman" w:hAnsi="Times New Roman" w:cs="Times New Roman"/>
          <w:sz w:val="24"/>
          <w:szCs w:val="24"/>
          <w:lang w:eastAsia="cs-CZ" w:bidi="cs-CZ"/>
        </w:rPr>
        <w:t>používané ve výuce a p</w:t>
      </w:r>
      <w:r w:rsidRPr="00040374"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  <w:t xml:space="preserve">ro podporu učení </w:t>
      </w:r>
      <w:r w:rsidRPr="00B47CB0">
        <w:rPr>
          <w:rFonts w:ascii="Times New Roman" w:hAnsi="Times New Roman" w:cs="Times New Roman"/>
          <w:sz w:val="24"/>
          <w:szCs w:val="24"/>
          <w:lang w:eastAsia="cs-CZ" w:bidi="cs-CZ"/>
        </w:rPr>
        <w:t>studentů (např. metody vedoucí k aktivizaci studentů v průběhu vzdělávání, k zajištění kooperativního učení a</w:t>
      </w:r>
      <w:r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B47CB0">
        <w:rPr>
          <w:rFonts w:ascii="Times New Roman" w:hAnsi="Times New Roman" w:cs="Times New Roman"/>
          <w:sz w:val="24"/>
          <w:szCs w:val="24"/>
          <w:lang w:eastAsia="cs-CZ" w:bidi="cs-CZ"/>
        </w:rPr>
        <w:t>zpětné vazby, k zajištění formativní výuky či formativního hodnocení studentů atd.).</w:t>
      </w:r>
    </w:p>
    <w:p w14:paraId="7331AF04" w14:textId="77777777" w:rsidR="00040374" w:rsidRDefault="00B47CB0" w:rsidP="00B47CB0">
      <w:pPr>
        <w:pStyle w:val="Bezmezer"/>
        <w:ind w:left="215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B47CB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Uvedou se používané </w:t>
      </w:r>
      <w:r w:rsidRPr="00040374"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  <w:t>didaktické prostředky</w:t>
      </w:r>
      <w:r w:rsidRPr="00B47CB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(učební pomůcky, technika, prostory a zařízení), včetně nástrojů distančního vzdělávání.</w:t>
      </w:r>
    </w:p>
    <w:p w14:paraId="215E1C90" w14:textId="0C45F76C" w:rsidR="00B47CB0" w:rsidRDefault="00B47CB0" w:rsidP="00B47CB0">
      <w:pPr>
        <w:pStyle w:val="Bezmezer"/>
        <w:ind w:left="215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B47CB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Jsou-li v rámci výuky v </w:t>
      </w:r>
      <w:r w:rsidRPr="00040374"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  <w:t>prezenční formě studia využívány prvky distančního vzdělávání</w:t>
      </w:r>
      <w:r w:rsidRPr="00B47CB0">
        <w:rPr>
          <w:rFonts w:ascii="Times New Roman" w:hAnsi="Times New Roman" w:cs="Times New Roman"/>
          <w:sz w:val="24"/>
          <w:szCs w:val="24"/>
          <w:lang w:eastAsia="cs-CZ" w:bidi="cs-CZ"/>
        </w:rPr>
        <w:t>, uvede se způsob využití těchto prvků a zdůvodnění jejich zařazení do výuky, zvláště pokud jde o jejich přínos pro studenty z hlediska cíle vzdělávání a očekávaných výsledků učení.</w:t>
      </w:r>
    </w:p>
    <w:p w14:paraId="1FF7EFB4" w14:textId="77777777" w:rsidR="00B47CB0" w:rsidRDefault="00B47CB0" w:rsidP="001545D7">
      <w:pPr>
        <w:pStyle w:val="Bezmezer"/>
        <w:ind w:left="215"/>
        <w:rPr>
          <w:rFonts w:ascii="Times New Roman" w:hAnsi="Times New Roman" w:cs="Times New Roman"/>
          <w:sz w:val="24"/>
          <w:szCs w:val="24"/>
          <w:lang w:eastAsia="cs-CZ" w:bidi="cs-CZ"/>
        </w:rPr>
      </w:pPr>
    </w:p>
    <w:p w14:paraId="25513F16" w14:textId="77777777" w:rsidR="00095665" w:rsidRPr="001545D7" w:rsidRDefault="00095665" w:rsidP="001545D7">
      <w:pPr>
        <w:pStyle w:val="Bezmezer"/>
        <w:ind w:left="215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1545D7">
        <w:rPr>
          <w:rFonts w:ascii="Times New Roman" w:hAnsi="Times New Roman" w:cs="Times New Roman"/>
          <w:sz w:val="24"/>
          <w:szCs w:val="24"/>
          <w:u w:val="single"/>
          <w:lang w:eastAsia="cs-CZ" w:bidi="cs-CZ"/>
        </w:rPr>
        <w:t>Studijní literatura a studijní pomůcky</w:t>
      </w:r>
    </w:p>
    <w:p w14:paraId="38EDFA98" w14:textId="77777777" w:rsidR="00EE40ED" w:rsidRDefault="00095665" w:rsidP="001545D7">
      <w:pPr>
        <w:widowControl w:val="0"/>
        <w:autoSpaceDE w:val="0"/>
        <w:autoSpaceDN w:val="0"/>
        <w:spacing w:before="3" w:after="0" w:line="240" w:lineRule="auto"/>
        <w:ind w:left="215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Seznam studijní literatury obsahuje aktuální  tituly včetně zahraničních. </w:t>
      </w:r>
      <w:r w:rsidRPr="00095665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Aktuálnost</w: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se posuzuje s přihlédnutím k </w:t>
      </w:r>
      <w:r w:rsidRPr="00095665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charakteristice studijního programu a oblasti vzdělávání</w: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.</w:t>
      </w:r>
    </w:p>
    <w:p w14:paraId="1CB37DA0" w14:textId="77777777" w:rsidR="00EE40ED" w:rsidRDefault="00EE40ED" w:rsidP="001545D7">
      <w:pPr>
        <w:widowControl w:val="0"/>
        <w:autoSpaceDE w:val="0"/>
        <w:autoSpaceDN w:val="0"/>
        <w:spacing w:before="3" w:after="0" w:line="240" w:lineRule="auto"/>
        <w:ind w:left="215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S</w:t>
      </w:r>
      <w:r w:rsidR="00095665"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tudijní literatura se </w:t>
      </w:r>
      <w:r w:rsidR="00095665" w:rsidRPr="00095665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člení</w:t>
      </w:r>
      <w:r w:rsidR="00095665"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na </w:t>
      </w:r>
      <w:r w:rsidRPr="00EE40ED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základní</w:t>
      </w:r>
      <w:r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="00095665"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a </w:t>
      </w:r>
      <w:r w:rsidR="00095665" w:rsidRPr="00095665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doporučenou</w:t>
      </w:r>
      <w:r w:rsidR="00095665"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a případné studijní pomůcky.</w:t>
      </w:r>
    </w:p>
    <w:p w14:paraId="2CE725E3" w14:textId="77777777" w:rsidR="00095665" w:rsidRPr="00095665" w:rsidRDefault="00095665" w:rsidP="001545D7">
      <w:pPr>
        <w:widowControl w:val="0"/>
        <w:autoSpaceDE w:val="0"/>
        <w:autoSpaceDN w:val="0"/>
        <w:spacing w:before="3" w:after="0" w:line="240" w:lineRule="auto"/>
        <w:ind w:left="215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Vzory studijních </w:t>
      </w:r>
      <w:r w:rsidRPr="00095665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distančních</w: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textů a multimediálních pomůcek (tzv. studijní opory) pro </w:t>
      </w:r>
      <w:r w:rsidRPr="00095665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kombinovanou</w: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nebo  </w:t>
      </w:r>
      <w:r w:rsidRPr="00095665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distanční</w: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 formu  se  přikládají  jako  příloha  k žádosti  formou  odkazu a přístupových údajů na webové stránky, kde jsou umístěny (viz formulář A-I žádosti o akreditaci).</w:t>
      </w:r>
    </w:p>
    <w:p w14:paraId="3AA5493C" w14:textId="77777777" w:rsidR="00095665" w:rsidRPr="00095665" w:rsidRDefault="00095665" w:rsidP="00095665">
      <w:pPr>
        <w:widowControl w:val="0"/>
        <w:autoSpaceDE w:val="0"/>
        <w:autoSpaceDN w:val="0"/>
        <w:spacing w:before="120"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Informace ke kombinované nebo distanční formě</w:t>
      </w:r>
    </w:p>
    <w:p w14:paraId="71F75F7B" w14:textId="77777777" w:rsidR="00095665" w:rsidRPr="00095665" w:rsidRDefault="00095665" w:rsidP="00095665">
      <w:pPr>
        <w:widowControl w:val="0"/>
        <w:autoSpaceDE w:val="0"/>
        <w:autoSpaceDN w:val="0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Vyplňují se pouze v</w:t>
      </w:r>
      <w:r w:rsidRPr="00095665">
        <w:rPr>
          <w:rFonts w:ascii="Times New Roman" w:eastAsia="Times New Roman" w:hAnsi="Times New Roman" w:cs="Times New Roman"/>
          <w:spacing w:val="54"/>
          <w:sz w:val="24"/>
          <w:szCs w:val="24"/>
          <w:lang w:eastAsia="cs-CZ" w:bidi="cs-CZ"/>
        </w:rPr>
        <w:t xml:space="preserve"> </w: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případě, je-li studijní předmět realizován v jiné formě studia než</w:t>
      </w:r>
      <w:r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prezenční.</w:t>
      </w:r>
    </w:p>
    <w:p w14:paraId="3A16E5F9" w14:textId="77777777" w:rsidR="00095665" w:rsidRPr="00095665" w:rsidRDefault="00095665" w:rsidP="00095665">
      <w:pPr>
        <w:widowControl w:val="0"/>
        <w:autoSpaceDE w:val="0"/>
        <w:autoSpaceDN w:val="0"/>
        <w:spacing w:before="120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Rozsah konzultací (soustředění)</w:t>
      </w:r>
    </w:p>
    <w:p w14:paraId="1B8157B4" w14:textId="77777777" w:rsidR="00095665" w:rsidRPr="00095665" w:rsidRDefault="00095665" w:rsidP="00095665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Uvádí se celkový počet hodin za semestr. Případně se uvedou další způsoby výuky, které se uskutečňují za přítomnosti studenta.</w:t>
      </w:r>
    </w:p>
    <w:p w14:paraId="4C0E4A7D" w14:textId="77777777" w:rsidR="00095665" w:rsidRPr="00095665" w:rsidRDefault="00095665" w:rsidP="00095665">
      <w:pPr>
        <w:widowControl w:val="0"/>
        <w:autoSpaceDE w:val="0"/>
        <w:autoSpaceDN w:val="0"/>
        <w:spacing w:before="120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Informace o způsobu kontaktu s vyučujícím</w:t>
      </w:r>
    </w:p>
    <w:p w14:paraId="5B4C7CCB" w14:textId="77777777" w:rsidR="00095665" w:rsidRPr="00095665" w:rsidRDefault="00095665" w:rsidP="00095665">
      <w:pPr>
        <w:widowControl w:val="0"/>
        <w:autoSpaceDE w:val="0"/>
        <w:autoSpaceDN w:val="0"/>
        <w:spacing w:after="0" w:line="240" w:lineRule="auto"/>
        <w:ind w:left="218" w:right="240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Popis způsobu kontaktu s vyučujícím včetně systému konzultací. U předmětů uskutečňovaných v </w:t>
      </w:r>
      <w:r w:rsidRPr="00095665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distanční</w:t>
      </w:r>
      <w:r w:rsidRPr="0009566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formě studia se uvádí rovněž způsob zajištění komunikace mezi studenty navzájem.</w:t>
      </w:r>
    </w:p>
    <w:p w14:paraId="205C5A5B" w14:textId="77777777" w:rsidR="00F16DB7" w:rsidRDefault="00F16DB7"/>
    <w:sectPr w:rsidR="00F1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7D"/>
    <w:rsid w:val="00040374"/>
    <w:rsid w:val="00095665"/>
    <w:rsid w:val="001545D7"/>
    <w:rsid w:val="0024399D"/>
    <w:rsid w:val="002A5A76"/>
    <w:rsid w:val="005573A6"/>
    <w:rsid w:val="008F060C"/>
    <w:rsid w:val="00A03537"/>
    <w:rsid w:val="00B47CB0"/>
    <w:rsid w:val="00D52C64"/>
    <w:rsid w:val="00EE40ED"/>
    <w:rsid w:val="00F16DB7"/>
    <w:rsid w:val="00F16F7B"/>
    <w:rsid w:val="00FA4C7D"/>
    <w:rsid w:val="00F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B255"/>
  <w15:chartTrackingRefBased/>
  <w15:docId w15:val="{E511A2D5-A2C7-4C25-982B-F6D024F4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4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758</Words>
  <Characters>4479</Characters>
  <Application>Microsoft Office Word</Application>
  <DocSecurity>0</DocSecurity>
  <Lines>37</Lines>
  <Paragraphs>10</Paragraphs>
  <ScaleCrop>false</ScaleCrop>
  <Company>Univerzita Palackého v Olomouci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Scholler Radek</dc:creator>
  <cp:keywords/>
  <dc:description/>
  <cp:lastModifiedBy>Bc. Radek Scholler</cp:lastModifiedBy>
  <cp:revision>15</cp:revision>
  <dcterms:created xsi:type="dcterms:W3CDTF">2022-11-21T07:58:00Z</dcterms:created>
  <dcterms:modified xsi:type="dcterms:W3CDTF">2024-09-05T08:53:00Z</dcterms:modified>
</cp:coreProperties>
</file>